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DA902" w14:textId="77777777" w:rsidR="00930FC3" w:rsidRDefault="00A042F7">
      <w:pPr>
        <w:jc w:val="center"/>
      </w:pPr>
      <w:bookmarkStart w:id="0" w:name="_GoBack"/>
      <w:bookmarkEnd w:id="0"/>
      <w:r>
        <w:rPr>
          <w:b/>
          <w:sz w:val="28"/>
          <w:szCs w:val="28"/>
        </w:rPr>
        <w:t xml:space="preserve">Ermessensausübung: Verweisung ins Güteverfahren  </w:t>
      </w:r>
      <w:r>
        <w:t xml:space="preserve"> §§ 202 SGG, 278 Abs. 5 ZPO</w:t>
      </w:r>
    </w:p>
    <w:p w14:paraId="5FC98126" w14:textId="77777777" w:rsidR="00930FC3" w:rsidRDefault="00A042F7">
      <w:pPr>
        <w:jc w:val="center"/>
        <w:rPr>
          <w:rFonts w:cstheme="minorHAnsi"/>
          <w:b/>
          <w:i/>
          <w:sz w:val="28"/>
          <w:szCs w:val="28"/>
        </w:rPr>
      </w:pPr>
      <w:r>
        <w:rPr>
          <w:rFonts w:cstheme="minorHAnsi"/>
          <w:i/>
        </w:rPr>
        <w:t>Vorzulegen mit Eingang der Beklagtenakte</w:t>
      </w:r>
    </w:p>
    <w:p w14:paraId="506C7D53" w14:textId="77777777" w:rsidR="00930FC3" w:rsidRDefault="00930FC3">
      <w:pPr>
        <w:spacing w:after="0"/>
        <w:ind w:left="-426" w:firstLine="567"/>
        <w:rPr>
          <w:b/>
        </w:rPr>
      </w:pPr>
    </w:p>
    <w:p w14:paraId="6D10AFEB" w14:textId="77777777" w:rsidR="00930FC3" w:rsidRDefault="00A042F7">
      <w:pPr>
        <w:spacing w:after="0" w:line="240" w:lineRule="auto"/>
        <w:ind w:left="-425" w:firstLine="567"/>
      </w:pPr>
      <w:r>
        <w:rPr>
          <w:b/>
        </w:rPr>
        <w:t xml:space="preserve">I. Grundsätzliche Eignung                                                                                   </w:t>
      </w:r>
    </w:p>
    <w:p w14:paraId="3439B140" w14:textId="77777777" w:rsidR="00930FC3" w:rsidRDefault="00930FC3">
      <w:pPr>
        <w:spacing w:after="0"/>
        <w:ind w:left="-426" w:firstLine="567"/>
      </w:pPr>
    </w:p>
    <w:p w14:paraId="2451A6DD" w14:textId="77777777" w:rsidR="00930FC3" w:rsidRDefault="00A042F7">
      <w:pPr>
        <w:spacing w:after="0"/>
        <w:ind w:firstLine="142"/>
      </w:pPr>
      <w:r>
        <w:sym w:font="Wingdings" w:char="F071"/>
      </w:r>
      <w:r>
        <w:t xml:space="preserve"> ja                         </w:t>
      </w:r>
      <w:r>
        <w:sym w:font="Wingdings" w:char="F071"/>
      </w:r>
      <w:r>
        <w:t xml:space="preserve"> nein               (Typische Fallgruppen: siehe III.)</w:t>
      </w:r>
    </w:p>
    <w:p w14:paraId="6B7B321E" w14:textId="77777777" w:rsidR="00930FC3" w:rsidRDefault="00930FC3">
      <w:pPr>
        <w:spacing w:after="0"/>
      </w:pPr>
    </w:p>
    <w:p w14:paraId="703E8DD3" w14:textId="77777777" w:rsidR="00930FC3" w:rsidRDefault="00A042F7">
      <w:pPr>
        <w:spacing w:after="0"/>
        <w:ind w:left="-426" w:firstLine="567"/>
      </w:pPr>
      <w:r>
        <w:rPr>
          <w:b/>
        </w:rPr>
        <w:t xml:space="preserve">II. Checkliste </w:t>
      </w:r>
    </w:p>
    <w:tbl>
      <w:tblPr>
        <w:tblW w:w="10415" w:type="dxa"/>
        <w:jc w:val="center"/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0415"/>
      </w:tblGrid>
      <w:tr w:rsidR="00930FC3" w14:paraId="4F98F72A" w14:textId="77777777">
        <w:trPr>
          <w:trHeight w:val="595"/>
          <w:jc w:val="center"/>
        </w:trPr>
        <w:tc>
          <w:tcPr>
            <w:tcW w:w="7082" w:type="dxa"/>
            <w:vMerge w:val="restart"/>
          </w:tcPr>
          <w:p w14:paraId="2AD3CB45" w14:textId="77777777" w:rsidR="00930FC3" w:rsidRDefault="00930FC3">
            <w:pPr>
              <w:spacing w:after="0"/>
            </w:pPr>
          </w:p>
          <w:p w14:paraId="1A29D409" w14:textId="77777777" w:rsidR="00930FC3" w:rsidRDefault="00A042F7">
            <w:pPr>
              <w:pStyle w:val="Listenabsatz"/>
              <w:numPr>
                <w:ilvl w:val="0"/>
                <w:numId w:val="8"/>
              </w:numPr>
              <w:spacing w:after="0"/>
              <w:ind w:left="2320"/>
            </w:pPr>
            <w:r>
              <w:t>Über PKH entschieden?</w:t>
            </w:r>
          </w:p>
          <w:p w14:paraId="51B81910" w14:textId="77777777" w:rsidR="00930FC3" w:rsidRDefault="00A042F7">
            <w:pPr>
              <w:pStyle w:val="Listenabsatz"/>
              <w:numPr>
                <w:ilvl w:val="0"/>
                <w:numId w:val="8"/>
              </w:numPr>
              <w:spacing w:after="0"/>
              <w:ind w:left="2320"/>
            </w:pPr>
            <w:r>
              <w:t>Ggf.:  vorläufige Str</w:t>
            </w:r>
            <w:r>
              <w:t>eitwertfestsetzung bei § 197a SGG?</w:t>
            </w:r>
          </w:p>
          <w:p w14:paraId="1EA652B5" w14:textId="77777777" w:rsidR="00930FC3" w:rsidRDefault="00A042F7">
            <w:pPr>
              <w:pStyle w:val="Listenabsatz"/>
              <w:numPr>
                <w:ilvl w:val="0"/>
                <w:numId w:val="8"/>
              </w:numPr>
              <w:spacing w:after="0"/>
              <w:ind w:left="2320"/>
            </w:pPr>
            <w:r>
              <w:t>Über Beiladung nach § 75 SGG entschieden?</w:t>
            </w:r>
          </w:p>
          <w:p w14:paraId="6DBF9FB3" w14:textId="77777777" w:rsidR="00930FC3" w:rsidRDefault="00A042F7">
            <w:pPr>
              <w:pStyle w:val="Listenabsatz"/>
              <w:numPr>
                <w:ilvl w:val="0"/>
                <w:numId w:val="8"/>
              </w:numPr>
              <w:spacing w:after="0"/>
              <w:ind w:left="2320"/>
            </w:pPr>
            <w:r>
              <w:t>Akten beigezogen (Verwaltungsakten, Parallelverfahren)</w:t>
            </w:r>
          </w:p>
          <w:p w14:paraId="6B5E8DD6" w14:textId="77777777" w:rsidR="00930FC3" w:rsidRDefault="00930FC3">
            <w:pPr>
              <w:pStyle w:val="Listenabsatz"/>
              <w:spacing w:after="0"/>
            </w:pPr>
          </w:p>
          <w:p w14:paraId="257435AB" w14:textId="77777777" w:rsidR="00930FC3" w:rsidRDefault="00930FC3">
            <w:pPr>
              <w:spacing w:after="0"/>
            </w:pPr>
          </w:p>
          <w:p w14:paraId="763B9C63" w14:textId="77777777" w:rsidR="00930FC3" w:rsidRDefault="00A042F7">
            <w:pPr>
              <w:spacing w:after="0"/>
              <w:ind w:firstLine="619"/>
              <w:rPr>
                <w:b/>
              </w:rPr>
            </w:pPr>
            <w:r>
              <w:rPr>
                <w:b/>
              </w:rPr>
              <w:t xml:space="preserve">III. Verfügung: Schreiben an Beteiligte/Vertreter </w:t>
            </w:r>
          </w:p>
          <w:p w14:paraId="67EB75CD" w14:textId="77777777" w:rsidR="00930FC3" w:rsidRDefault="00930FC3">
            <w:pPr>
              <w:spacing w:after="0"/>
              <w:ind w:firstLine="619"/>
              <w:rPr>
                <w:b/>
              </w:rPr>
            </w:pPr>
          </w:p>
          <w:p w14:paraId="4F1332C8" w14:textId="77777777" w:rsidR="00930FC3" w:rsidRDefault="00A042F7">
            <w:pPr>
              <w:spacing w:after="0"/>
              <w:ind w:left="619" w:right="430"/>
            </w:pPr>
            <w:r>
              <w:t xml:space="preserve">Es erscheint sinnvoll, die Beteiligten vor den Güterichter zu </w:t>
            </w:r>
            <w:r>
              <w:t>verweisen, § 202 SGG in Verbindung mit § 278 Abs. 5 ZPO. Vor dem Güterichter erhalten die Beteiligten die Gelegenheit, in einem zeitnah stattfindenden nicht-öffentlichen, vertraulichen Termin eine eigenverantwortliche Beendigung des Verfahrens zu vereinbar</w:t>
            </w:r>
            <w:r>
              <w:t>en. Der Güterichter wird die Beteiligten dabei unterstützen. Dazu kann er alle Methoden der Konfliktlösung einschließlich der Mediation einsetzen.</w:t>
            </w:r>
          </w:p>
          <w:p w14:paraId="2E8FFF6B" w14:textId="77777777" w:rsidR="00930FC3" w:rsidRDefault="00930FC3">
            <w:pPr>
              <w:spacing w:after="0"/>
              <w:ind w:left="619" w:right="430"/>
            </w:pPr>
          </w:p>
          <w:p w14:paraId="654680C3" w14:textId="77777777" w:rsidR="00930FC3" w:rsidRDefault="00A042F7">
            <w:pPr>
              <w:spacing w:after="0"/>
              <w:ind w:left="926" w:right="430" w:hanging="284"/>
            </w:pPr>
            <w:r>
              <w:sym w:font="Wingdings" w:char="F071"/>
            </w:r>
            <w:r>
              <w:t xml:space="preserve">  Im vorliegenden Fall erscheint ein Güteversuch auch deshalb sinnvoll, um für die Zukunft weitere   Streit</w:t>
            </w:r>
            <w:r>
              <w:t>verfahren zu vermeiden und den Versuch einer dauerhaften Konfliktlösung zu unternehmen.</w:t>
            </w:r>
          </w:p>
          <w:p w14:paraId="5CC6B153" w14:textId="77777777" w:rsidR="00930FC3" w:rsidRDefault="00A042F7">
            <w:pPr>
              <w:spacing w:after="0"/>
              <w:ind w:left="926" w:right="430" w:hanging="307"/>
            </w:pPr>
            <w:r>
              <w:sym w:font="Wingdings" w:char="F071"/>
            </w:r>
            <w:r>
              <w:t xml:space="preserve">  Die im Güteversuch von den Beteiligten erarbeiteten Lösungen können für beide Seiten interessengerechter sein als ein Urteil.</w:t>
            </w:r>
          </w:p>
          <w:p w14:paraId="4D8D99FD" w14:textId="77777777" w:rsidR="00930FC3" w:rsidRDefault="00A042F7">
            <w:pPr>
              <w:spacing w:after="0"/>
              <w:ind w:left="926" w:right="430" w:hanging="307"/>
            </w:pPr>
            <w:r>
              <w:sym w:font="Wingdings" w:char="F071"/>
            </w:r>
            <w:r>
              <w:t xml:space="preserve">  Auch können die bereits bei Gericht </w:t>
            </w:r>
            <w:r>
              <w:t>anhängigen weiteren Verfahren der Beteiligten                                                                                                                                                                     (Az. . . . . . . . . . . . . . . . . . . . . .</w:t>
            </w:r>
            <w:r>
              <w:t xml:space="preserve"> . . . . . . . . . . . . . . . . . . . . . . . . . . . . . . . . . . . . . . . . . . . . . . . . . . . . . . . . . . )  und ggf. noch offene Verwaltungs- und Widerspruchsverfahren gemeinsam in dem Güterichterverfahren bearbeitet werden.</w:t>
            </w:r>
          </w:p>
          <w:p w14:paraId="4C595AC6" w14:textId="77777777" w:rsidR="00930FC3" w:rsidRDefault="00A042F7">
            <w:pPr>
              <w:spacing w:after="0"/>
              <w:ind w:left="619" w:right="430"/>
            </w:pPr>
            <w:r>
              <w:sym w:font="Wingdings" w:char="F071"/>
            </w:r>
            <w:r>
              <w:t xml:space="preserve">  Bei Verfahren na</w:t>
            </w:r>
            <w:r>
              <w:t>ch § 197 a SGG fallen für den Gütetermin keine zusätzlichen Gerichtsgebühren an.</w:t>
            </w:r>
          </w:p>
          <w:p w14:paraId="1AFC2BEF" w14:textId="77777777" w:rsidR="00930FC3" w:rsidRDefault="00A042F7">
            <w:pPr>
              <w:spacing w:after="0"/>
              <w:ind w:left="619" w:right="430"/>
            </w:pPr>
            <w:r>
              <w:sym w:font="Wingdings" w:char="F071"/>
            </w:r>
            <w:r>
              <w:t xml:space="preserve">  Individuelle Begründung: </w:t>
            </w:r>
          </w:p>
          <w:p w14:paraId="572E26AC" w14:textId="77777777" w:rsidR="00930FC3" w:rsidRDefault="00930FC3">
            <w:pPr>
              <w:spacing w:after="0"/>
              <w:ind w:left="619" w:right="430"/>
            </w:pPr>
          </w:p>
          <w:p w14:paraId="208E6CD4" w14:textId="77777777" w:rsidR="00930FC3" w:rsidRDefault="00A042F7">
            <w:pPr>
              <w:spacing w:after="0"/>
              <w:ind w:left="619" w:right="430"/>
            </w:pPr>
            <w:r>
              <w:t>Einfügung Absatz „Für weitere Informationen…..“</w:t>
            </w:r>
          </w:p>
          <w:p w14:paraId="12F1BA6A" w14:textId="77777777" w:rsidR="00930FC3" w:rsidRDefault="00930FC3">
            <w:pPr>
              <w:spacing w:after="0"/>
              <w:ind w:left="619" w:right="430"/>
            </w:pPr>
          </w:p>
          <w:p w14:paraId="5E892D3A" w14:textId="77777777" w:rsidR="00930FC3" w:rsidRDefault="00A042F7">
            <w:pPr>
              <w:spacing w:after="0"/>
              <w:ind w:left="619" w:right="430"/>
            </w:pPr>
            <w:r>
              <w:t>Sie können sich binnen zwei Wochen zu dieser Verfahrensweise äußern.</w:t>
            </w:r>
          </w:p>
        </w:tc>
      </w:tr>
      <w:tr w:rsidR="00930FC3" w14:paraId="01A9D1B8" w14:textId="77777777">
        <w:trPr>
          <w:trHeight w:val="5754"/>
          <w:jc w:val="center"/>
        </w:trPr>
        <w:tc>
          <w:tcPr>
            <w:tcW w:w="7082" w:type="dxa"/>
            <w:vMerge/>
          </w:tcPr>
          <w:p w14:paraId="3A4EF215" w14:textId="77777777" w:rsidR="00930FC3" w:rsidRDefault="00930FC3">
            <w:pPr>
              <w:spacing w:after="0"/>
            </w:pPr>
          </w:p>
        </w:tc>
      </w:tr>
      <w:tr w:rsidR="00930FC3" w14:paraId="508B2DC7" w14:textId="77777777">
        <w:trPr>
          <w:trHeight w:val="344"/>
          <w:jc w:val="center"/>
        </w:trPr>
        <w:tc>
          <w:tcPr>
            <w:tcW w:w="7082" w:type="dxa"/>
            <w:vAlign w:val="center"/>
          </w:tcPr>
          <w:p w14:paraId="6ADF3B42" w14:textId="77777777" w:rsidR="00930FC3" w:rsidRDefault="00930FC3">
            <w:pPr>
              <w:spacing w:after="0"/>
              <w:ind w:firstLine="619"/>
              <w:rPr>
                <w:b/>
              </w:rPr>
            </w:pPr>
          </w:p>
          <w:p w14:paraId="10F154C2" w14:textId="77777777" w:rsidR="00930FC3" w:rsidRDefault="00930FC3">
            <w:pPr>
              <w:spacing w:after="0"/>
              <w:ind w:firstLine="619"/>
              <w:rPr>
                <w:b/>
              </w:rPr>
            </w:pPr>
          </w:p>
          <w:p w14:paraId="154D4635" w14:textId="77777777" w:rsidR="00930FC3" w:rsidRDefault="00A042F7">
            <w:pPr>
              <w:spacing w:after="0"/>
              <w:ind w:firstLine="619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</w:t>
            </w:r>
            <w:r>
              <w:t>. . . . . . . . . . . . . . . . . . . . .      ____________________________</w:t>
            </w:r>
          </w:p>
        </w:tc>
      </w:tr>
    </w:tbl>
    <w:p w14:paraId="066812EC" w14:textId="77777777" w:rsidR="00930FC3" w:rsidRDefault="00A042F7">
      <w:pPr>
        <w:spacing w:after="0"/>
      </w:pPr>
      <w:r>
        <w:t xml:space="preserve">                                                                                                 </w:t>
      </w:r>
      <w:r>
        <w:t xml:space="preserve">        Datum                                   Richter/in</w:t>
      </w:r>
    </w:p>
    <w:p w14:paraId="61AAA33A" w14:textId="77777777" w:rsidR="00930FC3" w:rsidRDefault="00A042F7">
      <w:pPr>
        <w:spacing w:after="0" w:line="240" w:lineRule="auto"/>
        <w:ind w:left="-567"/>
        <w:rPr>
          <w:b/>
        </w:rPr>
      </w:pPr>
      <w:r>
        <w:t xml:space="preserve">              </w:t>
      </w:r>
      <w:r>
        <w:rPr>
          <w:b/>
        </w:rPr>
        <w:t>IV. Ggf. WV nach 2 Wochen</w:t>
      </w:r>
    </w:p>
    <w:p w14:paraId="6A44CA73" w14:textId="77777777" w:rsidR="00930FC3" w:rsidRDefault="00A042F7">
      <w:pPr>
        <w:spacing w:after="0"/>
        <w:ind w:left="-426" w:firstLine="567"/>
        <w:rPr>
          <w:b/>
        </w:rPr>
      </w:pPr>
      <w:r>
        <w:rPr>
          <w:b/>
        </w:rPr>
        <w:t xml:space="preserve">V. Ggf. Verweisungsbeschluss: </w:t>
      </w:r>
    </w:p>
    <w:p w14:paraId="6C178A92" w14:textId="77777777" w:rsidR="00930FC3" w:rsidRDefault="00930FC3">
      <w:pPr>
        <w:spacing w:after="0"/>
        <w:ind w:left="142"/>
        <w:rPr>
          <w:sz w:val="18"/>
          <w:szCs w:val="18"/>
        </w:rPr>
      </w:pPr>
    </w:p>
    <w:p w14:paraId="5E2BF959" w14:textId="77777777" w:rsidR="00930FC3" w:rsidRDefault="00A042F7">
      <w:pPr>
        <w:spacing w:after="0"/>
        <w:ind w:left="142"/>
        <w:rPr>
          <w:sz w:val="18"/>
          <w:szCs w:val="18"/>
        </w:rPr>
      </w:pPr>
      <w:r>
        <w:rPr>
          <w:sz w:val="18"/>
          <w:szCs w:val="18"/>
        </w:rPr>
        <w:t>Die Parteien werden vor den Güterichter verwiesen.</w:t>
      </w:r>
    </w:p>
    <w:p w14:paraId="5809C457" w14:textId="77777777" w:rsidR="00930FC3" w:rsidRDefault="00A042F7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G r ü n d e :</w:t>
      </w:r>
    </w:p>
    <w:p w14:paraId="09BE24DC" w14:textId="77777777" w:rsidR="00930FC3" w:rsidRDefault="00A042F7">
      <w:pPr>
        <w:spacing w:after="0"/>
        <w:ind w:left="142"/>
        <w:rPr>
          <w:sz w:val="18"/>
          <w:szCs w:val="18"/>
        </w:rPr>
      </w:pPr>
      <w:r>
        <w:rPr>
          <w:sz w:val="18"/>
          <w:szCs w:val="18"/>
        </w:rPr>
        <w:t>Die Verweisung vor den Güterichter erfolgt gemäß § 202 S.</w:t>
      </w:r>
      <w:r>
        <w:rPr>
          <w:sz w:val="18"/>
          <w:szCs w:val="18"/>
        </w:rPr>
        <w:t xml:space="preserve"> 1 SGG in Verbindung mit § 278 Abs. 5 S. 1 ZPO nach pflichtgemäßem Ermessen. (Evtl. Einfügung der maßgeblichen Erwägungen entspr. III. zur Auswahl.) </w:t>
      </w:r>
    </w:p>
    <w:p w14:paraId="5E98CAEF" w14:textId="77777777" w:rsidR="00930FC3" w:rsidRDefault="00A042F7">
      <w:pPr>
        <w:spacing w:after="0"/>
        <w:ind w:left="142"/>
      </w:pPr>
      <w:r>
        <w:rPr>
          <w:sz w:val="18"/>
          <w:szCs w:val="18"/>
        </w:rPr>
        <w:t>Die Parteien wurden angehört. Dieser Beschluss ist gemäß §§ 172 Abs. 2, 177 SGG unanfechtbar.</w:t>
      </w:r>
    </w:p>
    <w:sectPr w:rsidR="00930FC3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84100"/>
    <w:multiLevelType w:val="hybridMultilevel"/>
    <w:tmpl w:val="BB66B8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55281"/>
    <w:multiLevelType w:val="hybridMultilevel"/>
    <w:tmpl w:val="1DF6E338"/>
    <w:lvl w:ilvl="0" w:tplc="08C260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51249"/>
    <w:multiLevelType w:val="hybridMultilevel"/>
    <w:tmpl w:val="4FF6E7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971E8"/>
    <w:multiLevelType w:val="hybridMultilevel"/>
    <w:tmpl w:val="2730C3FA"/>
    <w:lvl w:ilvl="0" w:tplc="0886538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E3E8F"/>
    <w:multiLevelType w:val="hybridMultilevel"/>
    <w:tmpl w:val="67E42FC2"/>
    <w:lvl w:ilvl="0" w:tplc="886E73E0">
      <w:start w:val="1"/>
      <w:numFmt w:val="bullet"/>
      <w:pStyle w:val="AbsAufz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40FE1"/>
    <w:multiLevelType w:val="hybridMultilevel"/>
    <w:tmpl w:val="21F2B034"/>
    <w:lvl w:ilvl="0" w:tplc="8EE4396A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756430B"/>
    <w:multiLevelType w:val="hybridMultilevel"/>
    <w:tmpl w:val="588ED6B4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ED2717"/>
    <w:multiLevelType w:val="hybridMultilevel"/>
    <w:tmpl w:val="6FE6559C"/>
    <w:lvl w:ilvl="0" w:tplc="A13A9F4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972CA2"/>
    <w:multiLevelType w:val="hybridMultilevel"/>
    <w:tmpl w:val="20DE63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8"/>
  </w:num>
  <w:num w:numId="6">
    <w:abstractNumId w:val="7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20DE95B9-6840-4134-A5A6-6A872189FC66}"/>
    <w:docVar w:name="dgnword-eventsink" w:val="165927152"/>
  </w:docVars>
  <w:rsids>
    <w:rsidRoot w:val="00930FC3"/>
    <w:rsid w:val="005F4EAE"/>
    <w:rsid w:val="00930FC3"/>
    <w:rsid w:val="00A0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6D520"/>
  <w15:docId w15:val="{68CE24FA-ED78-454F-8CA1-E7F425A2B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after="200"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paragraph" w:customStyle="1" w:styleId="AbsAufz">
    <w:name w:val="AbsAufz"/>
    <w:basedOn w:val="Standard"/>
    <w:pPr>
      <w:numPr>
        <w:numId w:val="7"/>
      </w:numPr>
      <w:spacing w:before="280" w:after="0" w:line="240" w:lineRule="auto"/>
    </w:pPr>
    <w:rPr>
      <w:rFonts w:ascii="Arial" w:eastAsia="Times New Roman" w:hAnsi="Arial" w:cs="Times New Roman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Bayern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Klopstock, Barbara, Dr. (LSG)</dc:creator>
  <cp:keywords/>
  <dc:description/>
  <cp:lastModifiedBy>RG</cp:lastModifiedBy>
  <cp:revision>2</cp:revision>
  <cp:lastPrinted>2019-10-01T08:35:00Z</cp:lastPrinted>
  <dcterms:created xsi:type="dcterms:W3CDTF">2019-11-21T16:01:00Z</dcterms:created>
  <dcterms:modified xsi:type="dcterms:W3CDTF">2019-11-21T16:01:00Z</dcterms:modified>
</cp:coreProperties>
</file>